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11" w:rsidRDefault="008A6F11" w:rsidP="008A6F11">
      <w:pPr>
        <w:pStyle w:val="SectHead"/>
      </w:pPr>
      <w:r>
        <w:t>Section I</w:t>
      </w:r>
    </w:p>
    <w:p w:rsidR="008A6F11" w:rsidRDefault="008A6F11" w:rsidP="008A6F11">
      <w:pPr>
        <w:pStyle w:val="SubHead"/>
      </w:pPr>
      <w:r>
        <w:t>Part A – Religion and Belief Systems in Australia post-1945</w:t>
      </w:r>
    </w:p>
    <w:p w:rsidR="008A6F11" w:rsidRDefault="008A6F11" w:rsidP="008A6F11">
      <w:pPr>
        <w:pStyle w:val="SubHead"/>
      </w:pPr>
      <w:r>
        <w:t>15 marks</w:t>
      </w:r>
    </w:p>
    <w:p w:rsidR="008A6F11" w:rsidRDefault="008A6F11" w:rsidP="008A6F11">
      <w:pPr>
        <w:pStyle w:val="SubHead"/>
      </w:pPr>
    </w:p>
    <w:p w:rsidR="008A6F11" w:rsidRDefault="008A6F11" w:rsidP="008A6F11">
      <w:pPr>
        <w:pStyle w:val="SubHead"/>
      </w:pPr>
      <w:r>
        <w:t>Allow about 25 minutes for this part</w:t>
      </w:r>
    </w:p>
    <w:p w:rsidR="008A6F11" w:rsidRDefault="008A6F11" w:rsidP="008A6F11">
      <w:pPr>
        <w:pStyle w:val="SubHead"/>
      </w:pPr>
      <w:r>
        <w:t>Attempt Questions 1–11</w:t>
      </w:r>
    </w:p>
    <w:p w:rsidR="008A6F11" w:rsidRDefault="008A6F11" w:rsidP="008A6F11">
      <w:pPr>
        <w:pStyle w:val="SubHead"/>
      </w:pPr>
    </w:p>
    <w:p w:rsidR="008A6F11" w:rsidRDefault="008A6F11" w:rsidP="008A6F11">
      <w:pPr>
        <w:pStyle w:val="SubHead"/>
        <w:rPr>
          <w:b w:val="0"/>
          <w:bCs/>
        </w:rPr>
      </w:pPr>
      <w:r>
        <w:rPr>
          <w:b w:val="0"/>
          <w:bCs/>
        </w:rPr>
        <w:t xml:space="preserve">Use the multiple choice answer </w:t>
      </w:r>
      <w:proofErr w:type="gramStart"/>
      <w:r>
        <w:rPr>
          <w:b w:val="0"/>
          <w:bCs/>
        </w:rPr>
        <w:t>sheet</w:t>
      </w:r>
      <w:proofErr w:type="gramEnd"/>
      <w:r>
        <w:rPr>
          <w:b w:val="0"/>
          <w:bCs/>
        </w:rPr>
        <w:t xml:space="preserve"> for Questions 1–10.</w:t>
      </w:r>
    </w:p>
    <w:p w:rsidR="008A6F11" w:rsidRDefault="008A6F11" w:rsidP="008A6F11">
      <w:pPr>
        <w:pStyle w:val="SectRule"/>
      </w:pPr>
    </w:p>
    <w:p w:rsidR="008A6F11" w:rsidRDefault="008A6F11" w:rsidP="008A6F11"/>
    <w:p w:rsidR="008A6F11" w:rsidRDefault="008A6F11" w:rsidP="008A6F11">
      <w:pPr>
        <w:pStyle w:val="123"/>
      </w:pPr>
      <w:r>
        <w:t>On what project did Sir Ronald Wilson and Mr Michael Dodson work together?</w:t>
      </w:r>
    </w:p>
    <w:p w:rsidR="008A6F11" w:rsidRDefault="008A6F11" w:rsidP="008A6F11"/>
    <w:p w:rsidR="008A6F11" w:rsidRDefault="008A6F11" w:rsidP="008A6F11">
      <w:pPr>
        <w:pStyle w:val="ABC"/>
      </w:pPr>
      <w:r>
        <w:t>They were barristers in the Royal Commission into Black Deaths in Custody.</w:t>
      </w:r>
    </w:p>
    <w:p w:rsidR="008A6F11" w:rsidRDefault="008A6F11" w:rsidP="008A6F11">
      <w:pPr>
        <w:pStyle w:val="ABC"/>
      </w:pPr>
      <w:r>
        <w:t xml:space="preserve">They were authors of </w:t>
      </w:r>
      <w:r>
        <w:rPr>
          <w:i/>
        </w:rPr>
        <w:t xml:space="preserve">Bringing Them Home, </w:t>
      </w:r>
      <w:r>
        <w:t>a report on the Stolen Generations.</w:t>
      </w:r>
    </w:p>
    <w:p w:rsidR="008A6F11" w:rsidRDefault="008A6F11" w:rsidP="008A6F11">
      <w:pPr>
        <w:pStyle w:val="ABC"/>
      </w:pPr>
      <w:r>
        <w:t>They were indigenous Australians working for the National Human Rights and Equal Opportunity Commission.</w:t>
      </w:r>
    </w:p>
    <w:p w:rsidR="008A6F11" w:rsidRDefault="008A6F11" w:rsidP="008A6F11">
      <w:pPr>
        <w:pStyle w:val="ABC"/>
      </w:pPr>
      <w:r>
        <w:t xml:space="preserve">They were judges in the court that made the </w:t>
      </w:r>
      <w:proofErr w:type="spellStart"/>
      <w:r>
        <w:t>Mabo</w:t>
      </w:r>
      <w:proofErr w:type="spellEnd"/>
      <w:r>
        <w:t xml:space="preserve"> decision.</w:t>
      </w:r>
    </w:p>
    <w:p w:rsidR="008A6F11" w:rsidRDefault="008A6F11" w:rsidP="008A6F11"/>
    <w:p w:rsidR="008A6F11" w:rsidRDefault="008A6F11" w:rsidP="008A6F11">
      <w:pPr>
        <w:pStyle w:val="123"/>
        <w:rPr>
          <w:color w:val="000000"/>
        </w:rPr>
      </w:pPr>
      <w:r>
        <w:rPr>
          <w:color w:val="000000"/>
        </w:rPr>
        <w:t xml:space="preserve">In 2006, what could be said about the number of Roman Catholic adherents in Australia? </w:t>
      </w:r>
    </w:p>
    <w:p w:rsidR="008A6F11" w:rsidRDefault="008A6F11" w:rsidP="008A6F11">
      <w:pPr>
        <w:rPr>
          <w:color w:val="000000"/>
        </w:rPr>
      </w:pPr>
    </w:p>
    <w:p w:rsidR="008A6F11" w:rsidRDefault="008A6F11" w:rsidP="008A6F11">
      <w:pPr>
        <w:pStyle w:val="ABC"/>
        <w:rPr>
          <w:color w:val="000000"/>
        </w:rPr>
      </w:pPr>
      <w:r>
        <w:rPr>
          <w:color w:val="000000"/>
        </w:rPr>
        <w:t>It was smaller than the number of Anglican adherents and Protestant adherents combined in Australia.</w:t>
      </w:r>
    </w:p>
    <w:p w:rsidR="008A6F11" w:rsidRDefault="008A6F11" w:rsidP="008A6F11">
      <w:pPr>
        <w:pStyle w:val="ABC"/>
        <w:rPr>
          <w:color w:val="000000"/>
        </w:rPr>
      </w:pPr>
      <w:r>
        <w:rPr>
          <w:color w:val="000000"/>
        </w:rPr>
        <w:t xml:space="preserve">It was smaller than the number of adherents of all non-Christian religious traditions in Australia. </w:t>
      </w:r>
    </w:p>
    <w:p w:rsidR="008A6F11" w:rsidRDefault="008A6F11" w:rsidP="008A6F11">
      <w:pPr>
        <w:pStyle w:val="ABC"/>
        <w:rPr>
          <w:color w:val="000000"/>
        </w:rPr>
      </w:pPr>
      <w:r>
        <w:rPr>
          <w:color w:val="000000"/>
        </w:rPr>
        <w:t xml:space="preserve">It was smaller than the number of adherents in all the Christian Orthodox denominations in Australia. </w:t>
      </w:r>
    </w:p>
    <w:p w:rsidR="008A6F11" w:rsidRDefault="008A6F11" w:rsidP="008A6F11">
      <w:pPr>
        <w:pStyle w:val="ABC"/>
        <w:rPr>
          <w:color w:val="000000"/>
        </w:rPr>
      </w:pPr>
      <w:r>
        <w:rPr>
          <w:color w:val="000000"/>
        </w:rPr>
        <w:t>It was smaller than the number of Catholic Australians who were non-Roman Catholics.</w:t>
      </w:r>
    </w:p>
    <w:p w:rsidR="008A6F11" w:rsidRDefault="008A6F11" w:rsidP="008A6F11"/>
    <w:p w:rsidR="008A6F11" w:rsidRDefault="008A6F11" w:rsidP="008A6F11">
      <w:pPr>
        <w:pStyle w:val="123"/>
      </w:pPr>
      <w:r>
        <w:t>Of what did kinship groups in Aboriginal societies consist?</w:t>
      </w:r>
    </w:p>
    <w:p w:rsidR="008A6F11" w:rsidRDefault="008A6F11" w:rsidP="008A6F11"/>
    <w:p w:rsidR="008A6F11" w:rsidRDefault="008A6F11" w:rsidP="008A6F11">
      <w:pPr>
        <w:pStyle w:val="ABC"/>
      </w:pPr>
      <w:r>
        <w:t>Parents, the siblings of the parents, and the descendants of the parents only.</w:t>
      </w:r>
    </w:p>
    <w:p w:rsidR="008A6F11" w:rsidRDefault="008A6F11" w:rsidP="008A6F11">
      <w:pPr>
        <w:pStyle w:val="ABC"/>
      </w:pPr>
      <w:r>
        <w:t>Groups of 300 to 500 adults and children.</w:t>
      </w:r>
    </w:p>
    <w:p w:rsidR="008A6F11" w:rsidRDefault="008A6F11" w:rsidP="008A6F11">
      <w:pPr>
        <w:pStyle w:val="ABC"/>
      </w:pPr>
      <w:r>
        <w:t>Members of any group that could be supported by a nomadic lifestyle.</w:t>
      </w:r>
    </w:p>
    <w:p w:rsidR="008A6F11" w:rsidRDefault="008A6F11" w:rsidP="008A6F11">
      <w:pPr>
        <w:pStyle w:val="ABC"/>
      </w:pPr>
      <w:r>
        <w:t>Groups of 300 to 500 adults and children and their environment.</w:t>
      </w:r>
    </w:p>
    <w:p w:rsidR="008A6F11" w:rsidRDefault="008A6F11" w:rsidP="008A6F11"/>
    <w:p w:rsidR="008A6F11" w:rsidRDefault="008A6F11" w:rsidP="008A6F11">
      <w:pPr>
        <w:pStyle w:val="123"/>
      </w:pPr>
      <w:r>
        <w:t>What did the 2006 Australian Census reveal about numbers of Pentecostals compared to other Christian denominations in the past decade?</w:t>
      </w:r>
    </w:p>
    <w:p w:rsidR="008A6F11" w:rsidRDefault="008A6F11" w:rsidP="008A6F11"/>
    <w:p w:rsidR="008A6F11" w:rsidRDefault="008A6F11" w:rsidP="008A6F11">
      <w:pPr>
        <w:pStyle w:val="ABC"/>
      </w:pPr>
      <w:r>
        <w:t xml:space="preserve">They had very high proportional growth in the past decade but were still small in overall numbers. </w:t>
      </w:r>
    </w:p>
    <w:p w:rsidR="008A6F11" w:rsidRDefault="008A6F11" w:rsidP="008A6F11">
      <w:pPr>
        <w:pStyle w:val="ABC"/>
      </w:pPr>
      <w:r>
        <w:t xml:space="preserve">They had very high proportional growth in the past decade and would probably become the largest Protestant denomination in the next decade. </w:t>
      </w:r>
    </w:p>
    <w:p w:rsidR="008A6F11" w:rsidRDefault="008A6F11" w:rsidP="008A6F11">
      <w:pPr>
        <w:pStyle w:val="ABC"/>
      </w:pPr>
      <w:r>
        <w:t>They had very low proportional growth in the past decade and were still small in overall numbers.</w:t>
      </w:r>
    </w:p>
    <w:p w:rsidR="008A6F11" w:rsidRDefault="008A6F11" w:rsidP="008A6F11">
      <w:pPr>
        <w:pStyle w:val="ABC"/>
      </w:pPr>
      <w:r>
        <w:t xml:space="preserve">They had very low proportional growth in the past decade but were still large in overall numbers. </w:t>
      </w:r>
    </w:p>
    <w:p w:rsidR="008A6F11" w:rsidRDefault="008A6F11" w:rsidP="008A6F11"/>
    <w:p w:rsidR="008A6F11" w:rsidRDefault="008A6F11" w:rsidP="008A6F11">
      <w:pPr>
        <w:pStyle w:val="123"/>
      </w:pPr>
      <w:r>
        <w:br w:type="page"/>
      </w:r>
      <w:r>
        <w:lastRenderedPageBreak/>
        <w:t>Which of the following was a recommendation of the National Inquiry into the compulsory separation of indigenous children from their families and communities?</w:t>
      </w:r>
    </w:p>
    <w:p w:rsidR="008A6F11" w:rsidRDefault="008A6F11" w:rsidP="008A6F11"/>
    <w:p w:rsidR="008A6F11" w:rsidRDefault="008A6F11" w:rsidP="008A6F11">
      <w:pPr>
        <w:pStyle w:val="ABC"/>
      </w:pPr>
      <w:r>
        <w:t>If land rights had been continually exercised by Indigenous people and had not been alienated by statute, then that land should legally belong to them.</w:t>
      </w:r>
    </w:p>
    <w:p w:rsidR="008A6F11" w:rsidRDefault="008A6F11" w:rsidP="008A6F11">
      <w:pPr>
        <w:pStyle w:val="ABC"/>
      </w:pPr>
      <w:r>
        <w:t>Native title rights and pastoral rights should be able to coexist on land that has been leased from the government.</w:t>
      </w:r>
    </w:p>
    <w:p w:rsidR="008A6F11" w:rsidRDefault="008A6F11" w:rsidP="008A6F11">
      <w:pPr>
        <w:pStyle w:val="ABC"/>
      </w:pPr>
      <w:r>
        <w:t>People from all religious traditions should support the Howard Ten Point Plan.</w:t>
      </w:r>
    </w:p>
    <w:p w:rsidR="008A6F11" w:rsidRDefault="008A6F11" w:rsidP="008A6F11">
      <w:pPr>
        <w:pStyle w:val="ABC"/>
      </w:pPr>
      <w:r>
        <w:t>A national ‘Sorry Day’ should be held each year that would be given the same recognition as Anzac Day.</w:t>
      </w:r>
    </w:p>
    <w:p w:rsidR="008A6F11" w:rsidRDefault="008A6F11" w:rsidP="008A6F11"/>
    <w:p w:rsidR="008A6F11" w:rsidRDefault="008A6F11" w:rsidP="008A6F11">
      <w:pPr>
        <w:pStyle w:val="123"/>
      </w:pPr>
      <w:r>
        <w:t>What is ecumenism?</w:t>
      </w:r>
    </w:p>
    <w:p w:rsidR="008A6F11" w:rsidRDefault="008A6F11" w:rsidP="008A6F11"/>
    <w:p w:rsidR="008A6F11" w:rsidRDefault="008A6F11" w:rsidP="008A6F11">
      <w:pPr>
        <w:pStyle w:val="ABC"/>
      </w:pPr>
      <w:r>
        <w:t>It is when different Christian denominations co-operate.</w:t>
      </w:r>
    </w:p>
    <w:p w:rsidR="008A6F11" w:rsidRDefault="008A6F11" w:rsidP="008A6F11">
      <w:pPr>
        <w:pStyle w:val="ABC"/>
      </w:pPr>
      <w:r>
        <w:t>It is when different religious traditions co-operate.</w:t>
      </w:r>
    </w:p>
    <w:p w:rsidR="008A6F11" w:rsidRDefault="008A6F11" w:rsidP="008A6F11">
      <w:pPr>
        <w:pStyle w:val="ABC"/>
      </w:pPr>
      <w:r>
        <w:t>It is when a person changes from one denomination to a different denomination.</w:t>
      </w:r>
    </w:p>
    <w:p w:rsidR="008A6F11" w:rsidRDefault="008A6F11" w:rsidP="008A6F11">
      <w:pPr>
        <w:pStyle w:val="ABC"/>
      </w:pPr>
      <w:r>
        <w:t>It is when there is rigid support of one’s own denomination and hostility towards other denominations.</w:t>
      </w:r>
    </w:p>
    <w:p w:rsidR="008A6F11" w:rsidRDefault="008A6F11" w:rsidP="008A6F11"/>
    <w:p w:rsidR="008A6F11" w:rsidRDefault="008A6F11" w:rsidP="008A6F11">
      <w:pPr>
        <w:pStyle w:val="123"/>
      </w:pPr>
      <w:r>
        <w:t xml:space="preserve">What is a skin name? </w:t>
      </w:r>
    </w:p>
    <w:p w:rsidR="008A6F11" w:rsidRDefault="008A6F11" w:rsidP="008A6F11"/>
    <w:p w:rsidR="008A6F11" w:rsidRDefault="008A6F11" w:rsidP="008A6F11">
      <w:pPr>
        <w:pStyle w:val="ABC"/>
      </w:pPr>
      <w:r>
        <w:t>Any name given to a newborn Aboriginal baby.</w:t>
      </w:r>
    </w:p>
    <w:p w:rsidR="008A6F11" w:rsidRDefault="008A6F11" w:rsidP="008A6F11">
      <w:pPr>
        <w:pStyle w:val="ABC"/>
      </w:pPr>
      <w:r>
        <w:t>An additional name given to an Aboriginal person at birth and which indicates their birth order in the family.</w:t>
      </w:r>
    </w:p>
    <w:p w:rsidR="008A6F11" w:rsidRDefault="008A6F11" w:rsidP="008A6F11">
      <w:pPr>
        <w:pStyle w:val="ABC"/>
      </w:pPr>
      <w:r>
        <w:t>A name that belongs to an Aboriginal person from birth and which indicates that person’s relationship to others.</w:t>
      </w:r>
    </w:p>
    <w:p w:rsidR="008A6F11" w:rsidRDefault="008A6F11" w:rsidP="008A6F11">
      <w:pPr>
        <w:pStyle w:val="ABC"/>
      </w:pPr>
      <w:r>
        <w:t>A name that shows an Aboriginal person’s kinship but that is not used after marriage.</w:t>
      </w:r>
    </w:p>
    <w:p w:rsidR="008A6F11" w:rsidRDefault="008A6F11" w:rsidP="008A6F11"/>
    <w:p w:rsidR="008A6F11" w:rsidRDefault="008A6F11" w:rsidP="008A6F11">
      <w:pPr>
        <w:pStyle w:val="123"/>
      </w:pPr>
      <w:r>
        <w:t>Which of the following events most influenced Australia’s receiving of an increased number of refugees and migrants from Asia after 1975?</w:t>
      </w:r>
    </w:p>
    <w:p w:rsidR="008A6F11" w:rsidRDefault="008A6F11" w:rsidP="008A6F11"/>
    <w:p w:rsidR="008A6F11" w:rsidRDefault="008A6F11" w:rsidP="008A6F11">
      <w:pPr>
        <w:pStyle w:val="ABC"/>
      </w:pPr>
      <w:r>
        <w:t>The ending of World War II.</w:t>
      </w:r>
    </w:p>
    <w:p w:rsidR="008A6F11" w:rsidRDefault="008A6F11" w:rsidP="008A6F11">
      <w:pPr>
        <w:pStyle w:val="ABC"/>
      </w:pPr>
      <w:r>
        <w:t>The ending of migration from the United Kingdom.</w:t>
      </w:r>
    </w:p>
    <w:p w:rsidR="008A6F11" w:rsidRDefault="008A6F11" w:rsidP="008A6F11">
      <w:pPr>
        <w:pStyle w:val="ABC"/>
      </w:pPr>
      <w:r>
        <w:t>The ending of the Vietnam War.</w:t>
      </w:r>
    </w:p>
    <w:p w:rsidR="008A6F11" w:rsidRDefault="008A6F11" w:rsidP="008A6F11">
      <w:pPr>
        <w:pStyle w:val="ABC"/>
      </w:pPr>
      <w:r>
        <w:t>The ending of the Cold War.</w:t>
      </w:r>
    </w:p>
    <w:p w:rsidR="008A6F11" w:rsidRDefault="008A6F11" w:rsidP="008A6F11"/>
    <w:p w:rsidR="008A6F11" w:rsidRDefault="008A6F11" w:rsidP="008A6F11">
      <w:r>
        <w:br w:type="page"/>
      </w:r>
      <w:r>
        <w:lastRenderedPageBreak/>
        <w:t xml:space="preserve">Questions 9 and 10 refer to Source A, the painting </w:t>
      </w:r>
      <w:r>
        <w:rPr>
          <w:i/>
        </w:rPr>
        <w:t>My Country’s Corroboree</w:t>
      </w:r>
      <w:r>
        <w:t xml:space="preserve"> by Spider Snell, and quotation below.</w:t>
      </w:r>
    </w:p>
    <w:p w:rsidR="008A6F11" w:rsidRDefault="008A6F11" w:rsidP="008A6F11"/>
    <w:p w:rsidR="008A6F11" w:rsidRDefault="008A6F11" w:rsidP="008A6F11">
      <w:pPr>
        <w:jc w:val="center"/>
      </w:pPr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2895600" cy="438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11" w:rsidRDefault="008A6F11" w:rsidP="008A6F11">
      <w:pPr>
        <w:spacing w:before="200"/>
        <w:jc w:val="right"/>
        <w:rPr>
          <w:color w:val="000000"/>
          <w:sz w:val="20"/>
        </w:rPr>
      </w:pPr>
      <w:r>
        <w:rPr>
          <w:color w:val="000000"/>
          <w:sz w:val="20"/>
          <w:szCs w:val="27"/>
        </w:rPr>
        <w:t xml:space="preserve">Source: </w:t>
      </w:r>
      <w:r>
        <w:rPr>
          <w:i/>
          <w:color w:val="000000"/>
          <w:sz w:val="20"/>
        </w:rPr>
        <w:t>My Country’s Corroboree,</w:t>
      </w:r>
      <w:r>
        <w:rPr>
          <w:color w:val="000000"/>
          <w:sz w:val="20"/>
        </w:rPr>
        <w:t xml:space="preserve"> by Spider Snell</w:t>
      </w:r>
      <w:r>
        <w:rPr>
          <w:color w:val="000000"/>
          <w:sz w:val="20"/>
          <w:szCs w:val="27"/>
        </w:rPr>
        <w:t xml:space="preserve">, </w:t>
      </w:r>
      <w:proofErr w:type="spellStart"/>
      <w:r>
        <w:rPr>
          <w:color w:val="000000"/>
          <w:sz w:val="20"/>
          <w:szCs w:val="27"/>
        </w:rPr>
        <w:t>Mankaja</w:t>
      </w:r>
      <w:proofErr w:type="spellEnd"/>
      <w:r>
        <w:rPr>
          <w:color w:val="000000"/>
          <w:sz w:val="20"/>
          <w:szCs w:val="27"/>
        </w:rPr>
        <w:t xml:space="preserve"> Arts Centre, Fitzroy Crossing, Western Australia.</w:t>
      </w:r>
    </w:p>
    <w:p w:rsidR="008A6F11" w:rsidRDefault="008A6F11" w:rsidP="008A6F11"/>
    <w:p w:rsidR="008A6F11" w:rsidRDefault="008A6F11" w:rsidP="008A6F11">
      <w:r>
        <w:t xml:space="preserve">Of his painting </w:t>
      </w:r>
      <w:r>
        <w:rPr>
          <w:i/>
        </w:rPr>
        <w:t>My Country’s Corroboree,</w:t>
      </w:r>
      <w:r>
        <w:t xml:space="preserve"> above, Spider Snell said: </w:t>
      </w:r>
    </w:p>
    <w:p w:rsidR="008A6F11" w:rsidRDefault="008A6F11" w:rsidP="008A6F11">
      <w:pPr>
        <w:rPr>
          <w:spacing w:val="-2"/>
        </w:rPr>
      </w:pPr>
      <w:r>
        <w:rPr>
          <w:spacing w:val="-2"/>
        </w:rPr>
        <w:t xml:space="preserve">‘This is my country. I own the corroboree from the desert for this place. It is a big place </w:t>
      </w:r>
      <w:r>
        <w:rPr>
          <w:spacing w:val="-2"/>
        </w:rPr>
        <w:br/>
        <w:t xml:space="preserve">for Dreaming ceremonies. Two big groups of people travelled to this place for the ceremony. They met at the </w:t>
      </w:r>
      <w:proofErr w:type="spellStart"/>
      <w:r>
        <w:rPr>
          <w:spacing w:val="-2"/>
        </w:rPr>
        <w:t>soakwater</w:t>
      </w:r>
      <w:proofErr w:type="spellEnd"/>
      <w:r>
        <w:rPr>
          <w:spacing w:val="-2"/>
        </w:rPr>
        <w:t>* in the centre. They split up again and went on to two other places.’</w:t>
      </w:r>
    </w:p>
    <w:p w:rsidR="008A6F11" w:rsidRDefault="008A6F11" w:rsidP="008A6F11">
      <w:pPr>
        <w:rPr>
          <w:sz w:val="10"/>
        </w:rPr>
      </w:pPr>
    </w:p>
    <w:p w:rsidR="008A6F11" w:rsidRDefault="008A6F11" w:rsidP="008A6F11">
      <w:pPr>
        <w:rPr>
          <w:i/>
          <w:iCs/>
        </w:rPr>
      </w:pPr>
      <w:r>
        <w:t>*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soakwater</w:t>
      </w:r>
      <w:proofErr w:type="spellEnd"/>
      <w:r>
        <w:rPr>
          <w:i/>
          <w:iCs/>
        </w:rPr>
        <w:t xml:space="preserve"> is a shallow hole or depression in the ground where rainwater collects.</w:t>
      </w:r>
    </w:p>
    <w:p w:rsidR="008A6F11" w:rsidRDefault="008A6F11" w:rsidP="008A6F11"/>
    <w:p w:rsidR="008A6F11" w:rsidRDefault="008A6F11" w:rsidP="008A6F11">
      <w:pPr>
        <w:pStyle w:val="123"/>
      </w:pPr>
      <w:r>
        <w:t>In the context of his statement above, what does Spider Snell mean by ‘my country’?</w:t>
      </w:r>
    </w:p>
    <w:p w:rsidR="008A6F11" w:rsidRDefault="008A6F11" w:rsidP="008A6F11"/>
    <w:p w:rsidR="008A6F11" w:rsidRDefault="008A6F11" w:rsidP="008A6F11">
      <w:pPr>
        <w:pStyle w:val="ABC"/>
      </w:pPr>
      <w:r>
        <w:t>Australia, the nation of which he is a citizen.</w:t>
      </w:r>
    </w:p>
    <w:p w:rsidR="008A6F11" w:rsidRDefault="008A6F11" w:rsidP="008A6F11">
      <w:pPr>
        <w:pStyle w:val="ABC"/>
      </w:pPr>
      <w:r>
        <w:t xml:space="preserve">An area of traditional land with which he has spiritual links. </w:t>
      </w:r>
    </w:p>
    <w:p w:rsidR="008A6F11" w:rsidRDefault="008A6F11" w:rsidP="008A6F11">
      <w:pPr>
        <w:pStyle w:val="ABC"/>
      </w:pPr>
      <w:r>
        <w:t>The rural district he lives in as opposed to a town or a city.</w:t>
      </w:r>
    </w:p>
    <w:p w:rsidR="008A6F11" w:rsidRDefault="008A6F11" w:rsidP="008A6F11">
      <w:pPr>
        <w:pStyle w:val="ABC"/>
      </w:pPr>
      <w:r>
        <w:t>The unique qualities and culture of the Australian people.</w:t>
      </w:r>
    </w:p>
    <w:p w:rsidR="008A6F11" w:rsidRDefault="008A6F11" w:rsidP="008A6F11"/>
    <w:p w:rsidR="008A6F11" w:rsidRDefault="008A6F11" w:rsidP="008A6F11">
      <w:pPr>
        <w:pStyle w:val="123"/>
      </w:pPr>
      <w:r>
        <w:t>In the context of his statement above, what does Spider Snell mean by ‘Dreaming’?</w:t>
      </w:r>
    </w:p>
    <w:p w:rsidR="008A6F11" w:rsidRDefault="008A6F11" w:rsidP="008A6F11"/>
    <w:p w:rsidR="008A6F11" w:rsidRDefault="008A6F11" w:rsidP="008A6F11">
      <w:pPr>
        <w:pStyle w:val="ABC"/>
      </w:pPr>
      <w:r>
        <w:t>A succession of images or ideas present in the mind during sleep.</w:t>
      </w:r>
    </w:p>
    <w:p w:rsidR="008A6F11" w:rsidRDefault="008A6F11" w:rsidP="008A6F11">
      <w:pPr>
        <w:pStyle w:val="ABC"/>
      </w:pPr>
      <w:r>
        <w:t>A view of how the world was created and the rituals that sustain it.</w:t>
      </w:r>
    </w:p>
    <w:p w:rsidR="008A6F11" w:rsidRDefault="008A6F11" w:rsidP="008A6F11">
      <w:pPr>
        <w:pStyle w:val="ABC"/>
      </w:pPr>
      <w:r>
        <w:t>A fantasy that is voluntarily thought about while people are awake.</w:t>
      </w:r>
    </w:p>
    <w:p w:rsidR="00353CBE" w:rsidRDefault="008A6F11" w:rsidP="008A6F11">
      <w:pPr>
        <w:pStyle w:val="ABC"/>
      </w:pPr>
      <w:r>
        <w:t>Something that is imagined in sleep or in a vision.</w:t>
      </w:r>
    </w:p>
    <w:p w:rsidR="00460745" w:rsidRPr="00460745" w:rsidRDefault="00460745" w:rsidP="00460745">
      <w:pPr>
        <w:pStyle w:val="123"/>
        <w:numPr>
          <w:ilvl w:val="0"/>
          <w:numId w:val="0"/>
        </w:numPr>
        <w:rPr>
          <w:b/>
        </w:rPr>
      </w:pPr>
      <w:r w:rsidRPr="00460745">
        <w:rPr>
          <w:b/>
        </w:rPr>
        <w:lastRenderedPageBreak/>
        <w:t>Marking guidelines</w:t>
      </w:r>
    </w:p>
    <w:p w:rsidR="00460745" w:rsidRPr="00460745" w:rsidRDefault="00460745" w:rsidP="00460745">
      <w:pPr>
        <w:pStyle w:val="123"/>
        <w:numPr>
          <w:ilvl w:val="0"/>
          <w:numId w:val="0"/>
        </w:numPr>
        <w:rPr>
          <w:b/>
        </w:rPr>
      </w:pPr>
    </w:p>
    <w:p w:rsidR="00460745" w:rsidRPr="00460745" w:rsidRDefault="00460745" w:rsidP="00460745">
      <w:pPr>
        <w:pStyle w:val="123"/>
        <w:numPr>
          <w:ilvl w:val="0"/>
          <w:numId w:val="0"/>
        </w:numPr>
        <w:rPr>
          <w:b/>
        </w:rPr>
      </w:pPr>
      <w:r w:rsidRPr="00460745">
        <w:rPr>
          <w:b/>
        </w:rPr>
        <w:t>Section I</w:t>
      </w:r>
    </w:p>
    <w:p w:rsidR="00460745" w:rsidRPr="00460745" w:rsidRDefault="00460745" w:rsidP="00460745">
      <w:pPr>
        <w:pStyle w:val="123"/>
        <w:numPr>
          <w:ilvl w:val="0"/>
          <w:numId w:val="0"/>
        </w:numPr>
        <w:rPr>
          <w:b/>
        </w:rPr>
      </w:pPr>
      <w:r w:rsidRPr="00460745">
        <w:rPr>
          <w:b/>
        </w:rPr>
        <w:t>Part A – Religion and Belief Systems in Australia post-1945</w:t>
      </w:r>
    </w:p>
    <w:tbl>
      <w:tblPr>
        <w:tblW w:w="0" w:type="auto"/>
        <w:tblLook w:val="0000"/>
      </w:tblPr>
      <w:tblGrid>
        <w:gridCol w:w="657"/>
        <w:gridCol w:w="657"/>
      </w:tblGrid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</w:p>
        </w:tc>
        <w:tc>
          <w:tcPr>
            <w:tcW w:w="657" w:type="dxa"/>
          </w:tcPr>
          <w:p w:rsidR="00460745" w:rsidRDefault="00460745" w:rsidP="008532B8">
            <w:r>
              <w:t>B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</w:p>
        </w:tc>
        <w:tc>
          <w:tcPr>
            <w:tcW w:w="657" w:type="dxa"/>
          </w:tcPr>
          <w:p w:rsidR="00460745" w:rsidRDefault="008532B8" w:rsidP="008532B8">
            <w:r>
              <w:t>A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</w:t>
            </w:r>
          </w:p>
        </w:tc>
        <w:tc>
          <w:tcPr>
            <w:tcW w:w="657" w:type="dxa"/>
          </w:tcPr>
          <w:p w:rsidR="00460745" w:rsidRDefault="00460745" w:rsidP="008532B8">
            <w:r>
              <w:t>D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</w:t>
            </w:r>
          </w:p>
        </w:tc>
        <w:tc>
          <w:tcPr>
            <w:tcW w:w="657" w:type="dxa"/>
          </w:tcPr>
          <w:p w:rsidR="00460745" w:rsidRDefault="00460745" w:rsidP="008532B8">
            <w:r>
              <w:t>A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</w:t>
            </w:r>
          </w:p>
        </w:tc>
        <w:tc>
          <w:tcPr>
            <w:tcW w:w="657" w:type="dxa"/>
          </w:tcPr>
          <w:p w:rsidR="00460745" w:rsidRDefault="00460745" w:rsidP="008532B8">
            <w:r>
              <w:t>D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</w:p>
        </w:tc>
        <w:tc>
          <w:tcPr>
            <w:tcW w:w="657" w:type="dxa"/>
          </w:tcPr>
          <w:p w:rsidR="00460745" w:rsidRDefault="00460745" w:rsidP="008532B8">
            <w:r>
              <w:t>A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7</w:t>
            </w:r>
          </w:p>
        </w:tc>
        <w:tc>
          <w:tcPr>
            <w:tcW w:w="657" w:type="dxa"/>
          </w:tcPr>
          <w:p w:rsidR="00460745" w:rsidRDefault="00460745" w:rsidP="008532B8">
            <w:r>
              <w:t>C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8</w:t>
            </w:r>
          </w:p>
        </w:tc>
        <w:tc>
          <w:tcPr>
            <w:tcW w:w="657" w:type="dxa"/>
          </w:tcPr>
          <w:p w:rsidR="00460745" w:rsidRDefault="00460745" w:rsidP="008532B8">
            <w:r>
              <w:t>C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</w:p>
        </w:tc>
        <w:tc>
          <w:tcPr>
            <w:tcW w:w="657" w:type="dxa"/>
          </w:tcPr>
          <w:p w:rsidR="00460745" w:rsidRDefault="00460745" w:rsidP="008532B8">
            <w:r>
              <w:t>B</w:t>
            </w:r>
          </w:p>
        </w:tc>
      </w:tr>
      <w:tr w:rsidR="00460745" w:rsidTr="008532B8">
        <w:tblPrEx>
          <w:tblCellMar>
            <w:top w:w="0" w:type="dxa"/>
            <w:bottom w:w="0" w:type="dxa"/>
          </w:tblCellMar>
        </w:tblPrEx>
        <w:tc>
          <w:tcPr>
            <w:tcW w:w="657" w:type="dxa"/>
          </w:tcPr>
          <w:p w:rsidR="00460745" w:rsidRDefault="00460745" w:rsidP="008532B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57" w:type="dxa"/>
          </w:tcPr>
          <w:p w:rsidR="00460745" w:rsidRDefault="00460745" w:rsidP="008532B8">
            <w:r>
              <w:t>B</w:t>
            </w:r>
          </w:p>
        </w:tc>
      </w:tr>
    </w:tbl>
    <w:p w:rsidR="00460745" w:rsidRDefault="00460745" w:rsidP="00460745">
      <w:pPr>
        <w:pStyle w:val="ABC"/>
        <w:numPr>
          <w:ilvl w:val="0"/>
          <w:numId w:val="0"/>
        </w:numPr>
        <w:ind w:left="1440"/>
      </w:pPr>
    </w:p>
    <w:sectPr w:rsidR="00460745" w:rsidSect="00353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6D04"/>
    <w:multiLevelType w:val="multilevel"/>
    <w:tmpl w:val="D2DAAAB6"/>
    <w:lvl w:ilvl="0">
      <w:start w:val="1"/>
      <w:numFmt w:val="decimal"/>
      <w:lvlRestart w:val="0"/>
      <w:pStyle w:val="123"/>
      <w:lvlText w:val="%1"/>
      <w:lvlJc w:val="righ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1">
      <w:start w:val="1"/>
      <w:numFmt w:val="upperLetter"/>
      <w:pStyle w:val="ABC"/>
      <w:lvlText w:val="%2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F11"/>
    <w:rsid w:val="000448CE"/>
    <w:rsid w:val="000703E8"/>
    <w:rsid w:val="00346B5B"/>
    <w:rsid w:val="00353CBE"/>
    <w:rsid w:val="00460745"/>
    <w:rsid w:val="00661D76"/>
    <w:rsid w:val="008532B8"/>
    <w:rsid w:val="008A6F11"/>
    <w:rsid w:val="008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Head">
    <w:name w:val="SectHead"/>
    <w:basedOn w:val="Normal"/>
    <w:rsid w:val="008A6F11"/>
    <w:rPr>
      <w:b/>
      <w:sz w:val="28"/>
    </w:rPr>
  </w:style>
  <w:style w:type="paragraph" w:customStyle="1" w:styleId="SubHead">
    <w:name w:val="SubHead"/>
    <w:basedOn w:val="Normal"/>
    <w:rsid w:val="008A6F11"/>
    <w:rPr>
      <w:b/>
    </w:rPr>
  </w:style>
  <w:style w:type="paragraph" w:customStyle="1" w:styleId="SectRule">
    <w:name w:val="SectRule"/>
    <w:basedOn w:val="Normal"/>
    <w:rsid w:val="008A6F11"/>
    <w:pPr>
      <w:pBdr>
        <w:bottom w:val="single" w:sz="4" w:space="1" w:color="auto"/>
      </w:pBdr>
    </w:pPr>
  </w:style>
  <w:style w:type="paragraph" w:customStyle="1" w:styleId="123">
    <w:name w:val="123"/>
    <w:basedOn w:val="Normal"/>
    <w:rsid w:val="008A6F11"/>
    <w:pPr>
      <w:numPr>
        <w:numId w:val="1"/>
      </w:numPr>
    </w:pPr>
    <w:rPr>
      <w:szCs w:val="20"/>
    </w:rPr>
  </w:style>
  <w:style w:type="paragraph" w:customStyle="1" w:styleId="ABC">
    <w:name w:val="ABC"/>
    <w:basedOn w:val="123"/>
    <w:rsid w:val="008A6F11"/>
    <w:pPr>
      <w:numPr>
        <w:ilvl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p.kingsman</dc:creator>
  <cp:lastModifiedBy>p.kingsman</cp:lastModifiedBy>
  <cp:revision>2</cp:revision>
  <cp:lastPrinted>2010-05-27T01:21:00Z</cp:lastPrinted>
  <dcterms:created xsi:type="dcterms:W3CDTF">2010-05-27T01:10:00Z</dcterms:created>
  <dcterms:modified xsi:type="dcterms:W3CDTF">2010-05-27T05:35:00Z</dcterms:modified>
</cp:coreProperties>
</file>